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46"/>
          <w:szCs w:val="46"/>
        </w:rPr>
        <w:t>PAY GAPS</w:t>
      </w:r>
    </w:p>
    <w:p>
      <w:pPr>
        <w:spacing w:after="200"/>
        <w:jc w:val="center"/>
      </w:pPr>
      <w:r>
        <w:rPr>
          <w:rFonts w:ascii="Arial" w:cs="Arial" w:eastAsia="Arial" w:hAnsi="Arial"/>
          <w:b/>
          <w:bCs/>
          <w:color w:val="1F4E78"/>
          <w:sz w:val="46"/>
          <w:szCs w:val="46"/>
        </w:rPr>
        <w:t>AND INDIRECT MECHANISMS</w:t>
      </w:r>
    </w:p>
    <w:p>
      <w:pPr>
        <w:spacing w:after="200"/>
        <w:jc w:val="center"/>
      </w:pPr>
      <w:r>
        <w:rPr>
          <w:rFonts w:ascii="Arial" w:cs="Arial" w:eastAsia="Arial" w:hAnsi="Arial"/>
          <w:i/>
          <w:iCs/>
          <w:color w:val="C00000"/>
          <w:sz w:val="28"/>
          <w:szCs w:val="28"/>
        </w:rPr>
        <w:t>How the Platform's Architecture Affects Compensation Disparities Across Demographic Groups</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What pay gaps exist in the United States and how do they persist?</w:t>
      </w:r>
    </w:p>
    <w:p>
      <w:pPr>
        <w:spacing w:after="200"/>
        <w:jc w:val="center"/>
      </w:pPr>
      <w:r>
        <w:rPr>
          <w:rFonts w:ascii="Georgia" w:cs="Georgia" w:eastAsia="Georgia" w:hAnsi="Georgia"/>
          <w:i/>
          <w:iCs/>
          <w:color w:val="1A1A1A"/>
          <w:sz w:val="24"/>
          <w:szCs w:val="24"/>
        </w:rPr>
        <w:t>What structural mechanisms in the platform's architecture reduce them?</w:t>
      </w:r>
    </w:p>
    <w:p>
      <w:pPr>
        <w:spacing w:after="1200"/>
        <w:jc w:val="center"/>
      </w:pPr>
      <w:r>
        <w:rPr>
          <w:rFonts w:ascii="Georgia" w:cs="Georgia" w:eastAsia="Georgia" w:hAnsi="Georgia"/>
          <w:i/>
          <w:iCs/>
          <w:color w:val="1A1A1A"/>
          <w:sz w:val="24"/>
          <w:szCs w:val="24"/>
        </w:rPr>
        <w:t>What does the platform's wage floor accomplish structurally, and what remains outside its scope?</w:t>
      </w:r>
    </w:p>
    <w:p>
      <w:pPr>
        <w:spacing w:before="1200"/>
      </w:pPr>
      <w:r>
        <w:t xml:space="preserve"/>
      </w:r>
    </w:p>
    <w:p>
      <w:pPr>
        <w:spacing w:after="80"/>
        <w:jc w:val="center"/>
      </w:pPr>
      <w:r>
        <w:rPr>
          <w:rFonts w:ascii="Georgia" w:cs="Georgia" w:eastAsia="Georgia" w:hAnsi="Georgia"/>
          <w:i/>
          <w:iCs/>
          <w:color w:val="595959"/>
          <w:sz w:val="22"/>
          <w:szCs w:val="22"/>
        </w:rPr>
        <w:t>An Analytical Framing Document</w:t>
      </w:r>
    </w:p>
    <w:p>
      <w:pPr>
        <w:spacing w:after="80"/>
        <w:jc w:val="center"/>
      </w:pPr>
      <w:r>
        <w:rPr>
          <w:rFonts w:ascii="Georgia" w:cs="Georgia" w:eastAsia="Georgia" w:hAnsi="Georgia"/>
          <w:b/>
          <w:bCs/>
          <w:color w:val="1A1A1A"/>
          <w:sz w:val="24"/>
          <w:szCs w:val="24"/>
        </w:rPr>
        <w:t>Jason Robertson Illustrative side-by-side comparisons of national versus regional 25th percentile floors across 30 representative occupations and 20 regions are documented in 02_Wage_Floor_Regional_Variation_Examples.docx; an interactive version of the same comparison is available as 06_Presentation_Materials/06_Wage_Floor_Comparison_Calculator.html.</w:t>
      </w:r>
    </w:p>
    <w:p>
      <w:pPr>
        <w:spacing w:before="480"/>
        <w:jc w:val="center"/>
      </w:pPr>
      <w:r>
        <w:rPr>
          <w:rFonts w:ascii="Arial" w:cs="Arial" w:eastAsia="Arial" w:hAnsi="Arial"/>
          <w:i/>
          <w:iCs/>
          <w:color w:val="595959"/>
          <w:sz w:val="16"/>
          <w:szCs w:val="16"/>
        </w:rPr>
        <w:t>v1.1  ·  Created May 6, 2026 for v2.22  ·  Updated May 6, 2026 for v2.30.29 (RESEARCH-6 intersectional analysis framework)  ·  Updated May 10, 2026 for v3.7.13 (recalibration cadence updated)  ·  Updated May 13, 2026 for v3.7.44 (renamed from Gender Pay Gap to Pay Gaps; expanded scope to race/disability/LGBTQ+/age/citizenship; framing updates per user direction on wage-floor structural anti-discrimination property)  ·  Updated May 13, 2026 for v3.7.45 (Guideline 1 compliance — point estimates converted to ranges; new Geographic Wage Differences subsection added to Pay Gaps Beyond Gender; new Direction F Anti-Monopsony Geographic Floor Augmentation added to Design Directions)  ·  Updated May 13, 2026 for v3.7.47 (added Direction G: Tax-Based Wage Floor Enforcement with worker-whole + retirement-fund penalty allocation) · content last changed v3.8.382</w:t>
      </w:r>
    </w:p>
    <w:p>
      <w:pPr>
        <w:jc w:val="center"/>
      </w:pPr>
      <w:r>
        <w:rPr>
          <w:rFonts w:ascii="Georgia" w:cs="Georgia" w:eastAsia="Georgia" w:hAnsi="Georgia"/>
          <w:color w:val="595959"/>
          <w:sz w:val="20"/>
          <w:szCs w:val="20"/>
        </w:rPr>
        <w:t>Ohio  ·  2026</w:t>
      </w:r>
    </w:p>
    <w:p>
      <w:pPr>
        <w:spacing w:before="480"/>
        <w:jc w:val="center"/>
      </w:pPr>
      <w:r>
        <w:rPr>
          <w:rFonts w:ascii="Arial" w:cs="Arial" w:eastAsia="Arial" w:hAnsi="Arial"/>
          <w:i/>
          <w:iCs/>
          <w:color w:val="595959"/>
          <w:sz w:val="16"/>
          <w:szCs w:val="16"/>
        </w:rPr>
        <w:t>Sources Baseline. Numerical claims in this document derive from the canonical sources cataloged in 05_Sources_And_Derivation_Convention.docx, including: BLS Current Population Survey wage data 2023-2024 for gender wage gap figures; Census Bureau for labor-force participation rate data. Platform-canonical contribution rates (0.8 percent employer / 0.5 percent employee for childcare; 0.5 percent employer / 0.3 percent employee for mental health) are documented in the Open Issues Registry's OPEN-1 canonical resolution and detailed in the respective pillar substantiation documents.</w:t>
      </w:r>
    </w:p>
    <w:p>
      <w:pPr>
        <w:pStyle w:val="Heading1"/>
      </w:pPr>
      <w:r>
        <w:t>The Question This Document Addresses</w:t>
      </w:r>
    </w:p>
    <w:p>
      <w:r>
        <w:t xml:space="preserve">Acronyms referenced in this document: Bureau of Labor Statistics (BLS); Internal Revenue Service (IRS).</w:t>
      </w:r>
    </w:p>
    <w:p>
      <w:pPr>
        <w:spacing w:after="240" w:before="480"/>
      </w:pPr>
      <w:r>
        <w:rPr>
          <w:rFonts w:ascii="Arial" w:cs="Arial" w:eastAsia="Arial" w:hAnsi="Arial"/>
          <w:b/>
          <w:bCs/>
          <w:color w:val="1F4E78"/>
          <w:sz w:val="36"/>
          <w:szCs w:val="36"/>
        </w:rPr>
        <w:t>Pay gaps in the United States are persistent and well documented across multiple demographic dimensions. Women earn approximately 82 to 84 cents for every dollar earned by men comparing median annual earnings of full-time year-round workers. Black workers earn approximately 73 to 78 cents on the dollar compared to non-Hispanic white workers; Hispanic and Latino workers approximately 72 to 78 cents; Native American workers approximately 60 to 70 cents; Asian workers approximately 90 to 100 cents in aggregate, with substantial subgroup variation ranging from significant deficits to modest premiums depending on national origin and immigration cohort. Workers with disabilities earn approximately 70 to 78 cents on the dollar compared to workers without disabilities. LGBTQ+ workers face pay disparities ranging from approximately 5 to 10 percent for cisgender lesbian and gay workers to approximately 15 to 30 percent post-transition for transgender women, with substantial within-group variation. Older workers displaced from career positions return to substantially reduced compensation with the wage cliff varying substantially by industry and re-entry pathway. These gaps overlap and compound for workers who belong to multiple affected groups, with the compounding effect not simply additive (Source baseline: see Sources_And_Derivation_Convention.docx).</w:t>
      </w:r>
    </w:p>
    <w:p>
      <w:pPr>
        <w:spacing w:after="240" w:before="480"/>
      </w:pPr>
      <w:r>
        <w:rPr>
          <w:rFonts w:ascii="Arial" w:cs="Arial" w:eastAsia="Arial" w:hAnsi="Arial"/>
          <w:b/>
          <w:bCs/>
          <w:color w:val="1F4E78"/>
          <w:sz w:val="36"/>
          <w:szCs w:val="36"/>
        </w:rPr>
        <w:t>The platform's documents through v3.7.43 do not explicitly address pay gaps as a category. The wage floor architecture is occupation-based and uses BLS Occupational Employment and Wage Statistics data which does not break down by demographic group. The wage floor Concept Analysis, wage floor Empirical Analysis, and Wage Floors As Tax Architecture documents do not explicitly mention gender, race, disability, sexual orientation, or other protected-class attributes. The Community Contribution Plan whitepaper mentions gender once, in a list of future analytical work items.</w:t>
      </w:r>
    </w:p>
    <w:p>
      <w:pPr>
        <w:spacing w:after="240" w:before="480"/>
      </w:pPr>
      <w:r>
        <w:rPr>
          <w:rFonts w:ascii="Arial" w:cs="Arial" w:eastAsia="Arial" w:hAnsi="Arial"/>
          <w:b/>
          <w:bCs/>
          <w:color w:val="1F4E78"/>
          <w:sz w:val="36"/>
          <w:szCs w:val="36"/>
        </w:rPr>
        <w:t>However, the platform has structural mechanisms that substantially reduce pay gaps as a structural property of architecture choices made for other reasons. This document analyzes those mechanisms across demographic groups, estimates the magnitude of effect where data is available, and is honest about what the platform does and does not accomplish. The gender pay gap remains the most-studied and quantified, so it serves as the primary worked example in Section 3; analogous analyses for race ethnicity disability LGBTQ+ status age and citizenship status are developed in the new Section 6.</w:t>
      </w:r>
    </w:p>
    <w:p>
      <w:pPr>
        <w:pStyle w:val="Heading1"/>
      </w:pPr>
      <w:r>
        <w:t>How the Pay Gap Decomposes</w:t>
      </w:r>
    </w:p>
    <w:p>
      <w:pPr>
        <w:spacing w:after="240" w:before="480"/>
      </w:pPr>
      <w:r>
        <w:rPr>
          <w:rFonts w:ascii="Arial" w:cs="Arial" w:eastAsia="Arial" w:hAnsi="Arial"/>
          <w:b/>
          <w:bCs/>
          <w:color w:val="1F4E78"/>
          <w:sz w:val="36"/>
          <w:szCs w:val="36"/>
        </w:rPr>
        <w:t>The 16 percent raw gender pay gap among full-time year-round US workers is the result of several distinct mechanisms operating simultaneously. Understanding the decomposition is necessary to understand which mechanisms platform architecture can affect and which it cannot.  (Source baseline: see Sources_And_Derivation_Convention.docx.)</w:t>
      </w:r>
    </w:p>
    <w:p>
      <w:pPr>
        <w:spacing w:after="240" w:before="480"/>
      </w:pPr>
      <w:r>
        <w:rPr>
          <w:rFonts w:ascii="Arial" w:cs="Arial" w:eastAsia="Arial" w:hAnsi="Arial"/>
          <w:b/>
          <w:bCs/>
          <w:color w:val="1F4E78"/>
          <w:sz w:val="36"/>
          <w:szCs w:val="36"/>
        </w:rPr>
        <w:t>Occupational segregation accounts for an estimated 40 to 50 percent of the raw gap. Women are disproportionately employed in occupations with lower median wages: childcare workers, home health aides, personal care aides, retail sales, food preparation, certain healthcare support roles, K-12 education, social work, and nonprofit administration. Men are disproportionately employed in higher-paying occupations: engineering, software development, skilled trades (especially construction and electrical), management, finance, and certain technical fields. This is sometimes called horizontal segregation.  (Source baseline: see Sources_And_Derivation_Convention.docx.)</w:t>
      </w:r>
    </w:p>
    <w:p>
      <w:pPr>
        <w:spacing w:after="240" w:before="480"/>
      </w:pPr>
      <w:r>
        <w:rPr>
          <w:rFonts w:ascii="Arial" w:cs="Arial" w:eastAsia="Arial" w:hAnsi="Arial"/>
          <w:b/>
          <w:bCs/>
          <w:color w:val="1F4E78"/>
          <w:sz w:val="36"/>
          <w:szCs w:val="36"/>
        </w:rPr>
        <w:t>The motherhood penalty accounts for an estimated 30 to 40 percent of the raw gap among women age 30 and older. Women's earnings drop sharply after the birth of a first child and rarely fully recover, while men's earnings are largely unaffected by parenthood (and in some studies show a slight fatherhood premium). The motherhood penalty operates through interrupted labor force participation during early childcare years, reduced hours, occupational shifts toward family-flexible work, and direct discrimination against mothers in hiring and promotion.</w:t>
      </w:r>
    </w:p>
    <w:p>
      <w:pPr>
        <w:spacing w:after="240" w:before="480"/>
      </w:pPr>
      <w:r>
        <w:rPr>
          <w:rFonts w:ascii="Arial" w:cs="Arial" w:eastAsia="Arial" w:hAnsi="Arial"/>
          <w:b/>
          <w:bCs/>
          <w:color w:val="1F4E78"/>
          <w:sz w:val="36"/>
          <w:szCs w:val="36"/>
        </w:rPr>
        <w:t>The unexplained gap accounts for an estimated 10 to 20 percent of the raw gap and is what most pay-equity legislation targets. After controlling for occupation, hours, education, tenure, geography, and other observable factors, women in the same job as men earn approximately 5 to 10 cents less per dollar. This is the portion attributed to discrimination in pay-setting, negotiation differences, and other factors that are difficult to measure directly. Equal-pay-for-equal-work enforcement, pay transparency requirements, and salary history bans target this portion.  (Source baseline: see Sources_And_Derivation_Convention.docx.)</w:t>
      </w:r>
    </w:p>
    <w:p>
      <w:pPr>
        <w:spacing w:after="240" w:before="480"/>
      </w:pPr>
      <w:r>
        <w:rPr>
          <w:rFonts w:ascii="Arial" w:cs="Arial" w:eastAsia="Arial" w:hAnsi="Arial"/>
          <w:b/>
          <w:bCs/>
          <w:color w:val="1F4E78"/>
          <w:sz w:val="36"/>
          <w:szCs w:val="36"/>
        </w:rPr>
        <w:t>Vertical segregation (the underrepresentation of women in senior positions within the same occupation or firm) interacts with all of the above. Women are underrepresented in C-suite and senior management roles, in tenured academic positions, in partnership at law and accounting firms, and in many other senior tracks. This is sometimes a separate mechanism and sometimes a downstream consequence of the motherhood penalty and occupational segregation.</w:t>
      </w:r>
    </w:p>
    <w:p>
      <w:pPr>
        <w:pStyle w:val="Heading1"/>
      </w:pPr>
      <w:r>
        <w:t>Platform Mechanisms That Reduce the Gap</w:t>
      </w:r>
    </w:p>
    <w:p>
      <w:pPr>
        <w:spacing w:after="240" w:before="480"/>
      </w:pPr>
      <w:r>
        <w:rPr>
          <w:rFonts w:ascii="Arial" w:cs="Arial" w:eastAsia="Arial" w:hAnsi="Arial"/>
          <w:b/>
          <w:bCs/>
          <w:color w:val="1F4E78"/>
          <w:sz w:val="36"/>
          <w:szCs w:val="36"/>
        </w:rPr>
        <w:t>The platform's architecture includes three mechanisms that would reduce the gender pay gap as an indirect benefit. Each mechanism was designed for reasons other than pay-gap reduction, but each has substantial effects on the gap.</w:t>
      </w:r>
    </w:p>
    <w:p>
      <w:pPr>
        <w:pStyle w:val="Heading2"/>
        <w:spacing w:after="160" w:before="360"/>
      </w:pPr>
      <w:r>
        <w:rPr>
          <w:rFonts w:ascii="Arial" w:cs="Arial" w:eastAsia="Arial" w:hAnsi="Arial"/>
          <w:b/>
          <w:bCs/>
          <w:color w:val="1F4E78"/>
          <w:sz w:val="28"/>
          <w:szCs w:val="28"/>
        </w:rPr>
        <w:t>Mechanism 1: Universal Childcare Addresses the Motherhood Penalty</w:t>
      </w:r>
    </w:p>
    <w:p>
      <w:pPr>
        <w:spacing w:after="240" w:before="480"/>
      </w:pPr>
      <w:r>
        <w:rPr>
          <w:rFonts w:ascii="Arial" w:cs="Arial" w:eastAsia="Arial" w:hAnsi="Arial"/>
          <w:b/>
          <w:bCs/>
          <w:color w:val="1F4E78"/>
          <w:sz w:val="36"/>
          <w:szCs w:val="36"/>
        </w:rPr>
        <w:t>Universal childcare (the platform's adjacent pillar funded through a 0.8 percent employer / 0.5 percent employee payroll contribution) directly addresses the largest single mechanism in the motherhood penalty: the cost and availability of childcare during early child-rearing years. The Adjacent Pillars Under Development document states explicitly that childcare cost 'falls disproportionately on women, whose workforce participation is materially affected by childcare availability and cost.' The Built For What's Coming document states that universal childcare is 'particularly important for women, who currently bear disproportionate cost when childcare arrangements break down due to economic disruption.'  (Source baseline: see Sources_And_Derivation_Convention.docx.)</w:t>
      </w:r>
    </w:p>
    <w:p>
      <w:pPr>
        <w:spacing w:after="240" w:before="480"/>
      </w:pPr>
      <w:r>
        <w:rPr>
          <w:rFonts w:ascii="Arial" w:cs="Arial" w:eastAsia="Arial" w:hAnsi="Arial"/>
          <w:b/>
          <w:bCs/>
          <w:color w:val="1F4E78"/>
          <w:sz w:val="36"/>
          <w:szCs w:val="36"/>
        </w:rPr>
        <w:t>Quebec's universal childcare program (the model the platform adopts) increased mothers' labor force participation by approximately 8 to 10 percentage points relative to comparison regions, with effects concentrated among mothers with young children. Several studies of Quebec's program found that mothers' wages and career trajectories improved over time as mothers were able to maintain continuous employment rather than experiencing career interruptions. The platform's Quebec-model universal childcare would be expected to produce comparable effects in the United States, narrowing the motherhood penalty meaningfully.</w:t>
      </w:r>
    </w:p>
    <w:p>
      <w:pPr>
        <w:spacing w:after="240" w:before="480"/>
      </w:pPr>
      <w:r>
        <w:rPr>
          <w:rFonts w:ascii="Arial" w:cs="Arial" w:eastAsia="Arial" w:hAnsi="Arial"/>
          <w:b/>
          <w:bCs/>
          <w:color w:val="1F4E78"/>
          <w:sz w:val="36"/>
          <w:szCs w:val="36"/>
        </w:rPr>
        <w:t>Estimated magnitude of effect on the pay gap: if universal childcare reduces the motherhood penalty by 30 to 50 percent (consistent with Quebec literature), and the motherhood penalty currently accounts for 30 to 40 percent of the raw gender pay gap, this mechanism alone could reduce the raw gap by approximately 9 to 20 percent (i.e., narrow it from 16 percent to roughly 13 to 14.5 percent). This is a substantial effect even though the platform's universal childcare commitment was not designed with pay-gap reduction as its primary objective.  (Source baseline: see Sources_And_Derivation_Convention.docx.)</w:t>
      </w:r>
    </w:p>
    <w:p>
      <w:pPr>
        <w:pStyle w:val="Heading2"/>
        <w:spacing w:after="160" w:before="360"/>
      </w:pPr>
      <w:r>
        <w:rPr>
          <w:rFonts w:ascii="Arial" w:cs="Arial" w:eastAsia="Arial" w:hAnsi="Arial"/>
          <w:b/>
          <w:bCs/>
          <w:color w:val="1F4E78"/>
          <w:sz w:val="28"/>
          <w:szCs w:val="28"/>
        </w:rPr>
        <w:t>Mechanism 2: Empirical Wage Floors Raise Pay in Female-Dominated Occupations</w:t>
      </w:r>
    </w:p>
    <w:p>
      <w:pPr>
        <w:spacing w:after="240" w:before="480"/>
      </w:pPr>
      <w:r>
        <w:rPr>
          <w:rFonts w:ascii="Arial" w:cs="Arial" w:eastAsia="Arial" w:hAnsi="Arial"/>
          <w:b/>
          <w:bCs/>
          <w:color w:val="1F4E78"/>
          <w:sz w:val="36"/>
          <w:szCs w:val="36"/>
        </w:rPr>
        <w:t>The platform's empirical wage floor architecture sets occupation-specific minimum wages at the 25th percentile of actual wages currently paid in that occupation, recalibrated annually using a smoothed three-year moving average of BLS Occupational Employment and Wage Statistics data. Many of the lowest-wage occupations in the BLS data are female-dominated. Childcare workers (currently 95 percent female), home health aides (89 percent female), personal care aides (85 percent female), preschool and kindergarten teachers (97 percent female), nursing assistants (88 percent female), maids and housekeeping cleaners (88 percent female), and certain retail and food service occupations have median wages well below $35,000 per year. Setting wage floors at the 25th percentile would raise pay in these occupations to at least the 25th percentile of current wages — an increase that would disproportionately benefit women given the gender composition of these occupations.</w:t>
      </w:r>
    </w:p>
    <w:p>
      <w:pPr>
        <w:spacing w:after="240" w:before="480"/>
      </w:pPr>
      <w:r>
        <w:rPr>
          <w:rFonts w:ascii="Arial" w:cs="Arial" w:eastAsia="Arial" w:hAnsi="Arial"/>
          <w:b/>
          <w:bCs/>
          <w:color w:val="1F4E78"/>
          <w:sz w:val="36"/>
          <w:szCs w:val="36"/>
        </w:rPr>
        <w:t>Estimated magnitude of effect on the pay gap: approximately 40 to 50 percent of the gender pay gap attributable to occupational segregation [RESTATED v3.8.382] this read '30 to 40 percent', contradicting the 40 to 50 percent stated earlier in this document. THE CONCLUSION THAT FOLLOWS USES 40 TO 50: closing 25 to 35 percent of the segregation share gives 10 to 17.5 percent of the raw gap only on that basis; on 30 to 40 it would be 7.5 to 14. The restatement was the error, not the conclusion operates through the cluster of occupations where female-dominated work is also low-wage work. Raising wage floors in these occupations to the 25th percentile would close approximately 25 to 35 percent of the occupational segregation portion of the pay gap, which translates to approximately 10 to 17 percent of the raw gap. The wage floor architecture does not address occupational segregation itself (women would still be disproportionately employed in these occupations) but it does narrow the wage penalty associated with female-dominated work.  (Source baseline: see Sources_And_Derivation_Convention.docx.)</w:t>
      </w:r>
    </w:p>
    <w:p>
      <w:pPr>
        <w:pStyle w:val="Heading2"/>
        <w:spacing w:after="160" w:before="360"/>
      </w:pPr>
      <w:r>
        <w:rPr>
          <w:rFonts w:ascii="Arial" w:cs="Arial" w:eastAsia="Arial" w:hAnsi="Arial"/>
          <w:b/>
          <w:bCs/>
          <w:color w:val="1F4E78"/>
          <w:sz w:val="28"/>
          <w:szCs w:val="28"/>
        </w:rPr>
        <w:t>Mechanism 3: Universal Healthcare Reduces Job-Lock That Disproportionately Affects Women</w:t>
      </w:r>
    </w:p>
    <w:p>
      <w:pPr>
        <w:spacing w:after="240" w:before="480"/>
      </w:pPr>
      <w:r>
        <w:rPr>
          <w:rFonts w:ascii="Arial" w:cs="Arial" w:eastAsia="Arial" w:hAnsi="Arial"/>
          <w:b/>
          <w:bCs/>
          <w:color w:val="1F4E78"/>
          <w:sz w:val="36"/>
          <w:szCs w:val="36"/>
        </w:rPr>
        <w:t>Universal healthcare (the platform's adjacent pillar funded through a 4% employer / 2% employee payroll contribution) decouples healthcare access from employment status, occupation, and employer choice. Job-lock — where workers remain in suboptimal employment to retain healthcare coverage — disproportionately affects women in two ways. First, women are more likely than men to work part-time for healthcare benefits (often as a secondary earner with healthcare coverage through a partner's employer plan). Second, women are more likely to face the choice between continuing employment and leaving the workforce for caregiving responsibilities; the loss of healthcare coverage that accompanies job loss intensifies this choice.</w:t>
      </w:r>
    </w:p>
    <w:p>
      <w:pPr>
        <w:spacing w:after="240" w:before="480"/>
      </w:pPr>
      <w:r>
        <w:rPr>
          <w:rFonts w:ascii="Arial" w:cs="Arial" w:eastAsia="Arial" w:hAnsi="Arial"/>
          <w:b/>
          <w:bCs/>
          <w:color w:val="1F4E78"/>
          <w:sz w:val="36"/>
          <w:szCs w:val="36"/>
        </w:rPr>
        <w:t>Universal healthcare access removes both forms of job-lock. Women who currently work part-time for healthcare benefits could pursue full-time work without losing coverage. Women who currently remain in suboptimal employment for coverage reasons could pursue higher-paying alternatives. Women who leave the workforce for caregiving could re-enter without facing the healthcare-access barrier. The Built For What's Coming document discusses this in the context of AI workforce transition but the same logic applies to ordinary career trajectories.</w:t>
      </w:r>
    </w:p>
    <w:p>
      <w:pPr>
        <w:spacing w:after="240" w:before="480"/>
      </w:pPr>
      <w:r>
        <w:rPr>
          <w:rFonts w:ascii="Arial" w:cs="Arial" w:eastAsia="Arial" w:hAnsi="Arial"/>
          <w:b/>
          <w:bCs/>
          <w:color w:val="1F4E78"/>
          <w:sz w:val="36"/>
          <w:szCs w:val="36"/>
        </w:rPr>
        <w:t>Estimated magnitude of effect on the pay gap: this mechanism is the smallest of the three in direct effect on wages but operates as a multiplier on the other two. Studies of Massachusetts health reform (the closest US precedent) found small but measurable increases in women's labor force participation and full-time employment after universal-coverage implementation. Estimated reduction of the raw pay gap from this mechanism: approximately 1 to 3 percent.</w:t>
      </w:r>
    </w:p>
    <w:p>
      <w:pPr>
        <w:pStyle w:val="Heading1"/>
      </w:pPr>
      <w:r>
        <w:t>Combined Effect Estimate and Honest Caveats</w:t>
      </w:r>
    </w:p>
    <w:p>
      <w:pPr>
        <w:spacing w:after="240" w:before="480"/>
      </w:pPr>
      <w:r>
        <w:rPr>
          <w:rFonts w:ascii="Arial" w:cs="Arial" w:eastAsia="Arial" w:hAnsi="Arial"/>
          <w:b/>
          <w:bCs/>
          <w:color w:val="1F4E78"/>
          <w:sz w:val="36"/>
          <w:szCs w:val="36"/>
        </w:rPr>
        <w:t>Combining the three mechanisms, the platform's architecture would be expected to reduce the raw gender pay gap by approximately 20 to 40 percent [RESTATED v3.8.382] this read '30 to 40 percent'. THE DOCUMENT'S OWN COMPONENTS SUM TO 20 TO 40: childcare 9 to 20 percent, wage floors 10 to 17, transparency 1 to 3. The high end was right and the low end overstated by ten points — that is, narrow the gap from approximately 16 cents on the dollar to approximately 10 to 11 cents on the dollar. This is a substantial effect for a set of architecture choices not designed primarily for pay-gap reduction. The remaining gap would be the unexplained portion (5 to 10 percent) plus residual occupational segregation effects not addressed by wage floors, plus some residual motherhood penalty not addressed by childcare alone.  (Source baseline: see Sources_And_Derivation_Convention.docx.)</w:t>
      </w:r>
    </w:p>
    <w:p>
      <w:pPr>
        <w:spacing w:after="240" w:before="480"/>
      </w:pPr>
      <w:r>
        <w:rPr>
          <w:rFonts w:ascii="Arial" w:cs="Arial" w:eastAsia="Arial" w:hAnsi="Arial"/>
          <w:b/>
          <w:bCs/>
          <w:color w:val="1F4E78"/>
          <w:sz w:val="36"/>
          <w:szCs w:val="36"/>
        </w:rPr>
        <w:t>Honest caveats apply to this estimate. First, the literature on each mechanism is well-established but the magnitudes vary substantially across studies and regions. Second, interaction effects between the three mechanisms are difficult to estimate; they may be synergistic (each reinforcing the others) or partially redundant (each addressing partially overlapping portions of the gap). Third, US implementation may produce different effects than Quebec or Massachusetts due to differences in labor markets, demographic composition, and program design. Fourth, the platform's effects on the pay gap depend on actual uptake of universal childcare and universal healthcare, which the Behavioral Economics And Uptake Friction document examines as a real risk.</w:t>
      </w:r>
    </w:p>
    <w:p>
      <w:pPr>
        <w:spacing w:after="240" w:before="480"/>
      </w:pPr>
      <w:r>
        <w:rPr>
          <w:rFonts w:ascii="Arial" w:cs="Arial" w:eastAsia="Arial" w:hAnsi="Arial"/>
          <w:b/>
          <w:bCs/>
          <w:color w:val="1F4E78"/>
          <w:sz w:val="36"/>
          <w:szCs w:val="36"/>
        </w:rPr>
        <w:t>The estimate should therefore be understood as 'plausible directional magnitude' rather than 'rigorous quantitative prediction.' The platform's effect on the pay gap is meaningful and substantively positive, but the precise magnitude requires empirical investigation that this document does not conduct.</w:t>
      </w:r>
    </w:p>
    <w:p>
      <w:pPr>
        <w:pStyle w:val="Heading1"/>
      </w:pPr>
      <w:r>
        <w:t>Pay Gaps Beyond Gender</w:t>
      </w:r>
    </w:p>
    <w:p>
      <w:r>
        <w:t>The platform's wage floor is demographic-blind by construction. The floor for each occupation is calculated from the full national distribution of wages in that occupation and applied uniformly to every worker in that occupation, with no carve-outs for demographic characteristics. The structural anti-discrimination property at the floor level therefore extends to every demographic group, not only gender. Similarly, universal healthcare decouples healthcare access from employer-provided benefits for all workers, and universal childcare reduces caregiving-cost barriers for all parents. The mechanisms analyzed in Section 3 are not gender-specific; they affect every pay gap they touch. This section walks through their application to five additional pay gap categories.</w:t>
      </w:r>
    </w:p>
    <w:p>
      <w:pPr>
        <w:pStyle w:val="Heading2"/>
      </w:pPr>
      <w:r>
        <w:t>Race and Ethnicity Pay Gap</w:t>
      </w:r>
    </w:p>
    <w:p>
      <w:r>
        <w:t>The race and ethnicity pay gap is substantial and persistent. Black workers earn approximately 73 to 78 cents on the dollar compared to non-Hispanic white workers; Hispanic and Latino workers approximately 72 to 78 cents; Native American workers approximately 60 to 70 cents; Asian workers approximately 90 to 100 cents in aggregate, with substantial subgroup variation. These ratios narrow under controlled comparisons (occupation, education, experience, geography held constant) but do not eliminate, indicating an unexplained component analogous to the gender pay gap's unexplained portion (Source baseline: see Sources_And_Derivation_Convention.docx).</w:t>
      </w:r>
    </w:p>
    <w:p>
      <w:r>
        <w:t>The platform's three mechanisms engage the race and ethnicity pay gap through structurally analogous pathways to the gender analysis. The wage floor raises pay in low-wage occupations where Black and Hispanic workers are statistically over-represented (food preparation and service, building cleaning and maintenance, personal care services, transportation and material moving). Universal healthcare reduces employer-leverage on healthcare-related job retention, which disproportionately affects workers in occupations with weaker benefits, including many service and labor occupations with high non-white representation. Universal childcare reduces caregiving cost barriers that fall heavily on lower-income households of all ethnicities. The Sovereign Education Fund (in development) would reduce credentialing-cost barriers to occupational mobility, which affects workers whose families have less inherited wealth.</w:t>
      </w:r>
    </w:p>
    <w:p>
      <w:r>
        <w:t>Estimated magnitude of effect: rigorous quantification requires BLS occupational data crossed with Census demographic data, which is outside the scope of the platform's current analytical work and is flagged for credentialed external review. Reasonable directional estimation suggests the wage floor alone closes a meaningful share (likely in the same 10 to 17 percent range estimated for the gender pay gap) of the race and ethnicity pay gap, with combined platform mechanisms producing a larger total effect for workers facing intersectional disadvantage. The platform's effect on the absolute remaining gap is larger for groups starting further below the reference wage, which means Black and Hispanic workers (especially women) see proportionally larger gap closure but with the absolute remaining gap still larger because their starting position is further below the reference.</w:t>
      </w:r>
    </w:p>
    <w:p>
      <w:pPr>
        <w:pStyle w:val="Heading2"/>
      </w:pPr>
      <w:r>
        <w:t>Disability Pay Gap</w:t>
      </w:r>
    </w:p>
    <w:p>
      <w:r>
        <w:t>Workers with disabilities earn approximately 70 to 78 cents on the dollar compared to workers without disabilities. The gap reflects a combination of factors: occupational segregation (workers with disabilities are over-represented in lower-paying occupations and under-represented in higher-paying ones), reduced workforce participation (workers with disabilities face additional barriers to entering and remaining in the workforce), and direct discrimination in hiring and pay-setting. The Americans with Disabilities Act of 1990 prohibits discrimination on the basis of disability but enforcement is widely understood to be insufficient relative to the scale of the problem (Source baseline: see Sources_And_Derivation_Convention.docx).</w:t>
      </w:r>
    </w:p>
    <w:p>
      <w:r>
        <w:t>The platform's mechanisms have particularly strong relevance to the disability pay gap because two of them remove barriers that are concentrated for workers with disabilities. Universal healthcare is the most direct: workers with disabilities currently face significant healthcare costs and depend disproportionately on employer-provided coverage. Decoupling healthcare from employment status removes a major structural reason that workers with disabilities accept lower-paid positions with better benefits, or remain in unsuitable positions to preserve coverage. The wage floor raises pay in occupations where workers with disabilities are concentrated. Universal childcare reduces caregiving cost barriers, which fall on workers with disabilities both as parents and as care-recipients of working family members.</w:t>
      </w:r>
    </w:p>
    <w:p>
      <w:r>
        <w:t>Estimated magnitude of effect: the universal healthcare component is structurally larger here than for the gender or race pay gaps because the healthcare-job-lock effect is concentrated for workers with chronic conditions. The wage floor adds further effect through occupational raises. Combined platform mechanisms likely close a substantial share of the raw disability pay gap, with quantification flagged for credentialed external review. The platform does not address direct hiring discrimination, which remains the domain of the ADA.</w:t>
      </w:r>
    </w:p>
    <w:p>
      <w:pPr>
        <w:pStyle w:val="Heading2"/>
      </w:pPr>
      <w:r>
        <w:t>LGBTQ+ Pay Gap</w:t>
      </w:r>
    </w:p>
    <w:p>
      <w:r>
        <w:t>Workers in LGBTQ+ populations face pay disparities that vary substantially by sub-population. Cisgender lesbian and gay workers face raw gaps of approximately 5 to 10 percent compared to heterosexual workers; bisexual workers somewhat larger gaps; transgender workers face the largest documented gaps, with transgender women facing pay reductions of approximately 15 to 30 percent post-transition in longitudinal studies, while transgender men face smaller gaps or in some studies modest improvements. The pay disparities reflect a combination of occupational segregation, hiring discrimination, and identity-based termination, with transgender workers facing particular barriers to maintaining employment continuity (Source baseline: see Sources_And_Derivation_Convention.docx).</w:t>
      </w:r>
    </w:p>
    <w:p>
      <w:r>
        <w:t>The platform's mechanisms engage the LGBTQ+ pay gap principally through the wage floor (uniform application means no opportunity for an employer to pay an LGBTQ+ worker below the occupation floor) and through universal healthcare. Universal healthcare is particularly significant for transgender workers, who currently face transition-related healthcare costs that depend heavily on employer-coverage scope and inclusion. Decoupling healthcare from employment removes one important reason that LGBTQ+ workers accept positions with weaker pay in exchange for better coverage, and removes the employer-leverage that makes job loss potentially catastrophic for workers with ongoing healthcare needs.</w:t>
      </w:r>
    </w:p>
    <w:p>
      <w:r>
        <w:t>Estimated magnitude of effect: the wage floor's effect on the LGBTQ+ pay gap is similar in mechanism to its effect on other gaps; quantification requires data sources that link occupational classification to LGBTQ+ identity, which is generally not available in IRS or BLS data and would require survey-based studies. The platform does not address employment discrimination based on sexual orientation or gender identity directly. Title VII coverage of sexual orientation and gender identity was confirmed by the Supreme Court in Bostock v. Clayton County (2020) and remains the primary legal framework.</w:t>
      </w:r>
    </w:p>
    <w:p>
      <w:pPr>
        <w:pStyle w:val="Heading2"/>
      </w:pPr>
      <w:r>
        <w:t>Age Pay Gap and Displaced Worker Re-entry</w:t>
      </w:r>
    </w:p>
    <w:p>
      <w:r>
        <w:t>The age pay gap is structurally different from demographic pay gaps based on protected-class status. Average earnings rise with age through approximately ages 45 to 55 and decline thereafter, reflecting career progression followed by displacement, reduced hours, and re-entry at lower-paid positions. The Age Discrimination in Employment Act of 1967 prohibits age discrimination for workers age 40 and older, but the structural pattern of mid-to-late career displacement and re-entry at substantially reduced compensation remains common (Source baseline: see Sources_And_Derivation_Convention.docx).</w:t>
      </w:r>
    </w:p>
    <w:p>
      <w:r>
        <w:t>The platform's mechanisms engage the displaced-worker re-entry portion of the age pay gap through three pathways. The wage floor protects re-entering older workers from accepting positions paid below the empirical floor for their occupation, which is the modal pattern under current arrangements. Universal healthcare removes one principal reason that displaced older workers accept reduced-pay positions: maintaining healthcare coverage. The Hybrid Retirement System (P1 Community Contribution Plan) substantially changes the retirement-timing calculus for workers in their 50s and 60s, reducing pressure to remain in unsuitable employment specifically for retirement-eligibility reasons. Combined, these mechanisms reduce the wage cliff that currently follows displacement and partial recovery for older workers.</w:t>
      </w:r>
    </w:p>
    <w:p>
      <w:pPr>
        <w:pStyle w:val="Heading2"/>
      </w:pPr>
      <w:r>
        <w:t>Citizenship Status and Documented Worker Pay</w:t>
      </w:r>
    </w:p>
    <w:p>
      <w:r>
        <w:t>The pay gap for documented immigrant workers compared to native-born workers is substantial but narrows substantially within one generation and is largely explained by language, occupational sorting, and education-credential transferability factors. Undocumented worker pay is a separate analytical category outside the scope of this section because the platform's contribution and benefit architecture has citizenship and documentation requirements that are addressed in the Non-Citizens and Platform Eligibility analytical framing document (Source baseline: see Sources_And_Derivation_Convention.docx).</w:t>
      </w:r>
    </w:p>
    <w:p>
      <w:r>
        <w:t>For documented immigrant workers, the platform's mechanisms apply uniformly: the wage floor protects documented immigrant workers from below-floor pay regardless of national origin, universal healthcare reduces healthcare-dependence on employment, and universal childcare reduces caregiving-cost barriers. The structural effect is analogous to the gender and race pay gap analyses but operating principally through wage-floor raising rather than through occupational segregation or motherhood penalty mechanisms. Quantification requires data linking occupational classification to citizenship and nativity status (available in Census ACS but requires careful credentialed analysis).</w:t>
      </w:r>
    </w:p>
    <w:p>
      <w:pPr>
        <w:pStyle w:val="Heading2"/>
      </w:pPr>
      <w:r>
        <w:t>Geographic Wage Differences</w:t>
      </w:r>
    </w:p>
    <w:p>
      <w:r>
        <w:t>The geographic wage gap reflects substantial variation across regions of the United States. A retail cashier in Manhattan and a retail cashier in rural Mississippi face fundamentally different cost structures and local labor markets, and their wages reflect these differences. Much of this variation is legitimate cost-of-living and productivity-related variation, not a pay gap in the discrimination sense. However, a component of regional wage variation reflects employer concentration, monopsony power, and pay suppression that goes beyond cost-of-living-justified differences, particularly in regions with limited labor market competition for low-wage and middle-wage occupations (Source baseline: see Sources_And_Derivation_Convention.docx).</w:t>
      </w:r>
    </w:p>
    <w:p>
      <w:r>
        <w:t>The platform's wage floor architecture engages this dimension through region-adjusted floors. The 25th percentile methodology is applied to geographic subsets of each occupational classification, producing locally-calibrated floors that reflect regional labor market conditions (see 02_Wage_Floor_Concept_Analysis_v02.docx for the methodology). Within any given region, employers cannot pay below the regional 25th percentile for any occupation, which protects against the most aggressive within-region pay suppression. Cities where employer concentration or labor market monopsony has driven wages below regional norms see workers raised to at least the regional 25th percentile, with resulting local economy spillover effects through increased local consumer spending, reduced reliance on public assistance, and increased contributions into the Sovereign Fund and pillar payroll contributions.</w:t>
      </w:r>
    </w:p>
    <w:p>
      <w:r>
        <w:t>What the platform's current proposal does NOT do is cross-regional equalization. A worker whose entire region pays well below national norms for their occupation is not raised to national levels by the regional floor; the regional 25th percentile reflects whatever the region pays, including any region-wide pay suppression. Systemic regional suppression (where an entire labor market is depressed relative to comparable markets) remains outside the scope of the current proposal and would require either a national floor with no regional adjustment, a higher percentile threshold for the regional calculation, or anti-monopsony enforcement at the regional level. Direction F in the Design Directions section below outlines one possible future addition to address this gap. Estimated magnitude of effect on within-region pay suppression is meaningful but quantification requires BLS Occupational Employment and Wage Statistics data crossed with geographic identifiers at the metropolitan statistical area level and is flagged for credentialed external review.</w:t>
      </w:r>
    </w:p>
    <w:p>
      <w:pPr>
        <w:pStyle w:val="Heading2"/>
      </w:pPr>
      <w:r>
        <w:t>Why the Demographic-Blind Floor Property Matters</w:t>
      </w:r>
    </w:p>
    <w:p>
      <w:r>
        <w:t>A common framing question for anti-discrimination policy is whether enforcement requires detection: can a discrimination remedy work if it cannot first identify discrimination? The wage floor architecture answers this question structurally rather than enforceably. Below-floor demographic pay discrimination is not detected and prosecuted; it is structurally impossible by the rule. An employer cannot pay a Black childcare worker below the childcare-occupation floor and pay a white childcare worker at or above the floor because no employer can pay any worker below the floor. The rule does not need to read demographic data to produce demographic-neutral outcomes; it produces them by uniform application. This is a different anti-discrimination architecture than Title VII enforcement, which requires detection, complaint, and litigation. The two frameworks are complementary: the platform's wage floor handles below-floor pay structurally; Title VII handles above-floor pay decisions through enforcement. Neither replaces the other.</w:t>
      </w:r>
    </w:p>
    <w:p>
      <w:pPr>
        <w:pStyle w:val="Heading1"/>
      </w:pPr>
      <w:r>
        <w:t>What the Platform Does NOT Do</w:t>
      </w:r>
    </w:p>
    <w:p>
      <w:pPr>
        <w:spacing w:after="240" w:before="480"/>
      </w:pPr>
      <w:r>
        <w:rPr>
          <w:rFonts w:ascii="Arial" w:cs="Arial" w:eastAsia="Arial" w:hAnsi="Arial"/>
          <w:b/>
          <w:bCs/>
          <w:color w:val="1F4E78"/>
          <w:sz w:val="36"/>
          <w:szCs w:val="36"/>
        </w:rPr>
        <w:t>The platform's architecture substantially reduces pay gaps through the three structural mechanisms described above, and the wage floor in particular has a structural anti-discrimination property at the floor level: an employer cannot legally pay any worker below the floor for their occupation regardless of demographic characteristics. The floor applies uniformly to every worker in each occupation. The platform does not, however, replace or include all of the pay-equity instruments that pay-gap-focused policies typically target. This section is honest about the architecture's scope.</w:t>
      </w:r>
    </w:p>
    <w:p>
      <w:pPr>
        <w:spacing w:after="240" w:before="480"/>
      </w:pPr>
      <w:r>
        <w:rPr>
          <w:rFonts w:ascii="Arial" w:cs="Arial" w:eastAsia="Arial" w:hAnsi="Arial"/>
          <w:b/>
          <w:bCs/>
          <w:color w:val="1F4E78"/>
          <w:sz w:val="36"/>
          <w:szCs w:val="36"/>
        </w:rPr>
        <w:t>No equal-pay-for-equal-work enforcement. The platform does not include enforcement of equal pay for equal work. Existing federal law (the Equal Pay Act of 1963) prohibits pay discrimination on the basis of sex but is rarely enforced effectively. The platform does not propose strengthening Equal Pay Act enforcement, expanding its scope, or creating new enforcement mechanisms. The unexplained portion of the pay gap (5 to 10 percent) is therefore largely unaddressed by the platform.</w:t>
      </w:r>
    </w:p>
    <w:p>
      <w:pPr>
        <w:spacing w:after="240" w:before="480"/>
      </w:pPr>
      <w:r>
        <w:rPr>
          <w:rFonts w:ascii="Arial" w:cs="Arial" w:eastAsia="Arial" w:hAnsi="Arial"/>
          <w:b/>
          <w:bCs/>
          <w:color w:val="1F4E78"/>
          <w:sz w:val="36"/>
          <w:szCs w:val="36"/>
        </w:rPr>
        <w:t>Substantial occupation-level wage transparency, no within-employer transparency mandate. The platform's W-2 occupation classification combined with annually-published wage floor distributions creates substantial occupation-level wage transparency at national scale that does not exist today. Workers in every occupation can compare their pay to the empirical national distribution for their classification and see whether they are paid above or below the floor for their occupation. The platform does not, however, include the additional within-employer pay transparency mechanisms that pay-gap-focused policies typically target: employer-level salary range disclosure in job postings, within-employer wage information access for employees, salary history bans, and mandatory employer-level pay gap reporting. These mechanisms operate at the employer level and target within-employer pay decisions, which the platform's national occupation-level transparency cannot directly address.</w:t>
      </w:r>
    </w:p>
    <w:p>
      <w:pPr>
        <w:spacing w:after="240" w:before="480"/>
      </w:pPr>
      <w:r>
        <w:rPr>
          <w:rFonts w:ascii="Arial" w:cs="Arial" w:eastAsia="Arial" w:hAnsi="Arial"/>
          <w:b/>
          <w:bCs/>
          <w:color w:val="1F4E78"/>
          <w:sz w:val="36"/>
          <w:szCs w:val="36"/>
        </w:rPr>
        <w:t>No salary history ban. Salary history bans (which prohibit employers from asking about applicants' previous compensation) have been associated with measurable pay-gap reductions in jurisdictions that have implemented them. The platform does not propose a federal salary history ban.</w:t>
      </w:r>
    </w:p>
    <w:p>
      <w:pPr>
        <w:spacing w:after="240" w:before="480"/>
      </w:pPr>
      <w:r>
        <w:rPr>
          <w:rFonts w:ascii="Arial" w:cs="Arial" w:eastAsia="Arial" w:hAnsi="Arial"/>
          <w:b/>
          <w:bCs/>
          <w:color w:val="1F4E78"/>
          <w:sz w:val="36"/>
          <w:szCs w:val="36"/>
        </w:rPr>
        <w:t>Prior to v3.2.0, no paid family leave provision; v3.2.0 added Pillar Eight. Paid family leave is one of the most direct policy interventions for reducing the motherhood penalty. The United States is one of very few developed nations without a federal paid family leave commitment. Prior to v3.2.0, the platform did not propose paid family leave. v3.2.0 elevated this to Pillar Eight (Universal Paid Family Time), formalizing what had been documented as Direction A in this document. The Family and Medical Leave Act of 1993 provides only unpaid leave to a subset of workers; the platform does not propose changing this. This is a real gap in the platform's pay-gap-reduction architecture: universal childcare addresses care during the working period after parental leave but does not address the leave period itself.</w:t>
      </w:r>
    </w:p>
    <w:p>
      <w:pPr>
        <w:spacing w:after="240" w:before="480"/>
      </w:pPr>
      <w:r>
        <w:rPr>
          <w:rFonts w:ascii="Arial" w:cs="Arial" w:eastAsia="Arial" w:hAnsi="Arial"/>
          <w:b/>
          <w:bCs/>
          <w:color w:val="1F4E78"/>
          <w:sz w:val="36"/>
          <w:szCs w:val="36"/>
        </w:rPr>
        <w:t>Structural anti-discrimination on below-floor compensation, no new provisions above the floor. The platform's wage floor architecture provides one structural anti-discrimination effect on compensation: it makes below-floor pay structurally impossible regardless of protected-class status. The floor is calculated from the full national distribution of wages in each occupation and applied uniformly to every worker in that occupation. There is no employer discretion to pay individual workers below the floor on the basis of race religion sex disability sexual orientation or any other characteristic. Because workers currently paid below the floor are disproportionately women and workers of color, the floor's structural effect closes a substantial share of the raw pay gap as an automatic consequence of the demographic-blind rule. The platform does not, however, include new anti-discrimination provisions for above-floor compensation, hiring, promotion, or comparable-worth determinations. Existing federal law (Title VII of the Civil Rights Act of 1964, the Equal Pay Act of 1963, the Americans with Disabilities Act of 1990) continues to be the primary legal framework for those forms of discrimination, which the platform retains rather than replaces.</w:t>
      </w:r>
    </w:p>
    <w:p>
      <w:pPr>
        <w:spacing w:after="240" w:before="480"/>
      </w:pPr>
      <w:r>
        <w:rPr>
          <w:rFonts w:ascii="Arial" w:cs="Arial" w:eastAsia="Arial" w:hAnsi="Arial"/>
          <w:b/>
          <w:bCs/>
          <w:color w:val="1F4E78"/>
          <w:sz w:val="36"/>
          <w:szCs w:val="36"/>
        </w:rPr>
        <w:t>No comparable-worth or pay-equity reclassification. Comparable-worth frameworks (which compare wages across occupations of comparable skill, effort, responsibility, and working conditions) have been used in some jurisdictions to identify and remediate occupational segregation effects on pay. The platform's empirical wage floors operate within occupational classifications rather than across them; the platform does not propose comparable-worth reclassification.</w:t>
      </w:r>
    </w:p>
    <w:p>
      <w:pPr>
        <w:spacing w:after="240" w:before="480"/>
      </w:pPr>
      <w:r>
        <w:rPr>
          <w:rFonts w:ascii="Arial" w:cs="Arial" w:eastAsia="Arial" w:hAnsi="Arial"/>
          <w:b/>
          <w:bCs/>
          <w:color w:val="1F4E78"/>
          <w:sz w:val="36"/>
          <w:szCs w:val="36"/>
        </w:rPr>
        <w:t>No occupational anti-segregation interventions. The platform does not include programs to reduce occupational segregation directly — for example, recruitment incentives for women in underrepresented fields, workplace policies addressing the experience of women in male-dominated fields, or other interventions that have been used to reduce segregation. The Sovereign Education Fund's per-student funding follows the student rather than directing students toward particular fields, which means the platform does not actively encourage women to enter higher-paying male-dominated occupations.</w:t>
      </w:r>
    </w:p>
    <w:p>
      <w:pPr>
        <w:pStyle w:val="Heading1"/>
      </w:pPr>
      <w:r>
        <w:t>Design Directions for Future Platform Versions</w:t>
      </w:r>
    </w:p>
    <w:p>
      <w:pPr>
        <w:spacing w:after="240" w:before="480"/>
      </w:pPr>
      <w:r>
        <w:rPr>
          <w:rFonts w:ascii="Arial" w:cs="Arial" w:eastAsia="Arial" w:hAnsi="Arial"/>
          <w:b/>
          <w:bCs/>
          <w:color w:val="1F4E78"/>
          <w:sz w:val="36"/>
          <w:szCs w:val="36"/>
        </w:rPr>
        <w:t>Several design directions could integrate explicit pay-gap-reduction work into future platform versions. Each is briefly outlined here. None requires fundamental redesign of the current architecture; each is an addition that could be made without disturbing existing commitments.</w:t>
      </w:r>
    </w:p>
    <w:p>
      <w:pPr>
        <w:pStyle w:val="Heading2"/>
        <w:spacing w:after="160" w:before="360"/>
      </w:pPr>
      <w:r>
        <w:rPr>
          <w:rFonts w:ascii="Arial" w:cs="Arial" w:eastAsia="Arial" w:hAnsi="Arial"/>
          <w:b/>
          <w:bCs/>
          <w:color w:val="1F4E78"/>
          <w:sz w:val="28"/>
          <w:szCs w:val="28"/>
        </w:rPr>
        <w:t>Direction A: Federal Paid Family Leave Commitment</w:t>
      </w:r>
    </w:p>
    <w:p>
      <w:pPr>
        <w:spacing w:after="240" w:before="480"/>
      </w:pPr>
      <w:r>
        <w:rPr>
          <w:rFonts w:ascii="Arial" w:cs="Arial" w:eastAsia="Arial" w:hAnsi="Arial"/>
          <w:b/>
          <w:bCs/>
          <w:color w:val="1F4E78"/>
          <w:sz w:val="36"/>
          <w:szCs w:val="36"/>
        </w:rPr>
        <w:t>A federal paid family leave commitment would directly address the motherhood penalty during the leave period itself, complementing universal childcare's effect on the post-leave period. Most developed nations provide 12 to 52 weeks of paid leave with replacement rates of 50 to 100 percent. A US commitment of 12 weeks at 60 percent wage replacement would cost approximately $40 to $60 billion per year and could be funded through a 0.4 percent payroll contribution similar to the platform's other adjacent pillars. The platform's federal-state cooperation framework would govern the interaction with existing state paid leave programs (California, New Jersey, New York, Washington, and several others have implemented state-level paid family leave).</w:t>
      </w:r>
    </w:p>
    <w:p>
      <w:pPr>
        <w:pStyle w:val="Heading2"/>
        <w:spacing w:after="160" w:before="360"/>
      </w:pPr>
      <w:r>
        <w:rPr>
          <w:rFonts w:ascii="Arial" w:cs="Arial" w:eastAsia="Arial" w:hAnsi="Arial"/>
          <w:b/>
          <w:bCs/>
          <w:color w:val="1F4E78"/>
          <w:sz w:val="28"/>
          <w:szCs w:val="28"/>
        </w:rPr>
        <w:t>Direction B: Pay Transparency as Federal Requirement</w:t>
      </w:r>
    </w:p>
    <w:p>
      <w:pPr>
        <w:spacing w:after="240" w:before="480"/>
      </w:pPr>
      <w:r>
        <w:rPr>
          <w:rFonts w:ascii="Arial" w:cs="Arial" w:eastAsia="Arial" w:hAnsi="Arial"/>
          <w:b/>
          <w:bCs/>
          <w:color w:val="1F4E78"/>
          <w:sz w:val="36"/>
          <w:szCs w:val="36"/>
        </w:rPr>
        <w:t>A federal pay transparency requirement (mandating salary range disclosure in job postings and prohibiting compensation secrecy clauses in employment contracts) could be incorporated into federal employment law without requiring significant new federal infrastructure. Enforcement could operate through existing Equal Employment Opportunity Commission procedures. Estimated effect on pay gap: empirical studies of state-level pay transparency laws show approximately 1 to 3 percent reduction in the raw gap; a federal version would produce similar effects.</w:t>
      </w:r>
    </w:p>
    <w:p>
      <w:pPr>
        <w:pStyle w:val="Heading2"/>
        <w:spacing w:after="160" w:before="360"/>
      </w:pPr>
      <w:r>
        <w:rPr>
          <w:rFonts w:ascii="Arial" w:cs="Arial" w:eastAsia="Arial" w:hAnsi="Arial"/>
          <w:b/>
          <w:bCs/>
          <w:color w:val="1F4E78"/>
          <w:sz w:val="28"/>
          <w:szCs w:val="28"/>
        </w:rPr>
        <w:t>Direction C: Strengthened Equal Pay Act Enforcement</w:t>
      </w:r>
    </w:p>
    <w:p>
      <w:pPr>
        <w:spacing w:after="240" w:before="480"/>
      </w:pPr>
      <w:r>
        <w:rPr>
          <w:rFonts w:ascii="Arial" w:cs="Arial" w:eastAsia="Arial" w:hAnsi="Arial"/>
          <w:b/>
          <w:bCs/>
          <w:color w:val="1F4E78"/>
          <w:sz w:val="36"/>
          <w:szCs w:val="36"/>
        </w:rPr>
        <w:t>Strengthening Equal Pay Act enforcement could address the unexplained portion of the pay gap (5 to 10 percent). Specific design elements could include: streamlined burden of proof for plaintiffs in equal-pay cases, expanded scope to cover comparable rather than identical work, mandatory employer pay-gap reporting (similar to UK gender pay gap reporting requirements), and increased penalties for documented pay discrimination. This direction operates through enforcement mechanisms rather than fiscal commitments and would have minimal direct cost.  (Source baseline: see Sources_And_Derivation_Convention.docx.)</w:t>
      </w:r>
    </w:p>
    <w:p>
      <w:pPr>
        <w:pStyle w:val="Heading2"/>
        <w:spacing w:after="160" w:before="360"/>
      </w:pPr>
      <w:r>
        <w:rPr>
          <w:rFonts w:ascii="Arial" w:cs="Arial" w:eastAsia="Arial" w:hAnsi="Arial"/>
          <w:b/>
          <w:bCs/>
          <w:color w:val="1F4E78"/>
          <w:sz w:val="28"/>
          <w:szCs w:val="28"/>
        </w:rPr>
        <w:t>Direction D: Comparable-Worth wage floor Adjustments</w:t>
      </w:r>
    </w:p>
    <w:p>
      <w:pPr>
        <w:spacing w:after="240" w:before="480"/>
      </w:pPr>
      <w:r>
        <w:rPr>
          <w:rFonts w:ascii="Arial" w:cs="Arial" w:eastAsia="Arial" w:hAnsi="Arial"/>
          <w:b/>
          <w:bCs/>
          <w:color w:val="1F4E78"/>
          <w:sz w:val="36"/>
          <w:szCs w:val="36"/>
        </w:rPr>
        <w:t>The platform's empirical wage floors could be modified to incorporate comparable-worth adjustments. Specifically: occupations with high female composition AND wage levels below what comparable-skill male-dominated occupations earn could have their floors set at a comparable-worth target rather than the 25th percentile of current wages. This would be a structural change to the wage floor architecture rather than an addition; it requires careful design to avoid distortions but is technically feasible within the platform's framework.</w:t>
      </w:r>
    </w:p>
    <w:p>
      <w:pPr>
        <w:pStyle w:val="Heading2"/>
        <w:spacing w:after="160" w:before="360"/>
      </w:pPr>
      <w:r>
        <w:rPr>
          <w:rFonts w:ascii="Arial" w:cs="Arial" w:eastAsia="Arial" w:hAnsi="Arial"/>
          <w:b/>
          <w:bCs/>
          <w:color w:val="1F4E78"/>
          <w:sz w:val="28"/>
          <w:szCs w:val="28"/>
        </w:rPr>
        <w:t>Direction E: Sovereign Education Fund Recruitment Incentives</w:t>
      </w:r>
    </w:p>
    <w:p>
      <w:pPr>
        <w:spacing w:after="240" w:before="480"/>
      </w:pPr>
      <w:r>
        <w:rPr>
          <w:rFonts w:ascii="Arial" w:cs="Arial" w:eastAsia="Arial" w:hAnsi="Arial"/>
          <w:b/>
          <w:bCs/>
          <w:color w:val="1F4E78"/>
          <w:sz w:val="36"/>
          <w:szCs w:val="36"/>
        </w:rPr>
        <w:t>The Sovereign Education Fund could include modest recruitment incentives for women in currently male-dominated higher-paying occupations (engineering, computer science, certain skilled trades) without conflicting with the platform's per-student-following-the-student design. Specifically: scholarships, mentorship programs, and workplace transition support could be funded as a small portion (0.5 to 1 percent) of the Sovereign Education Fund's annual disbursement. This direction would address occupational segregation directly but is small in fiscal magnitude and uncertain in effect (recruitment programs have shown mixed results in changing occupational composition).</w:t>
      </w:r>
    </w:p>
    <w:p>
      <w:pPr>
        <w:pStyle w:val="Heading2"/>
      </w:pPr>
      <w:r>
        <w:t>Direction F: Anti-Monopsony Geographic Floor Augmentation</w:t>
      </w:r>
    </w:p>
    <w:p>
      <w:pPr/>
      <w:r>
        <w:t>The regional wage floor described in the Geographic Wage Differences subsection above protects against within-region pay suppression but does not address systemic regional suppression where an entire local labor market is depressed relative to comparable markets. A future platform version could augment the regional floor with a national-floor backstop: for occupations where the regional 25th percentile falls below a defined threshold of the national 25th percentile (for example, 60 to 70 percent of national, with the specific threshold subject to empirical calibration), the operative floor would default to the threshold value rather than the regional value. This would identify regions where wage suppression is systemic rather than individual-employer-level and provide a corrective baseline that ties local floors to national norms within an empirically calibrated band. Trade-offs include increased political complexity, potential employment effects in regions where the augmented floor binds tightly relative to local wages (subject to the empirical evidence base on minimum wage employment effects discussed in section 2.2 of the Wage Floor Concept Analysis), and the need for credentialed empirical calibration of the threshold percentage to balance anti-suppression objectives against regional employment effects. This direction would not eliminate legitimate cost-of-living-justified regional variation but rather the portion that reflects monopsony or labor market concentration beyond what cost-of-living differences justify. Source attribution for any BLS-data-dependent calculations under Direction F: see 06_Presentation_Materials/06_Data_Sources_And_Methodology.docx for the central transparency reference. Direction F's calibration depends on accurate BLS OEWS percentile data; the production data pipeline described in that reference is the operative source for any deployed implementation.</w:t>
      </w:r>
    </w:p>
    <w:p>
      <w:pPr>
        <w:pStyle w:val="Heading2"/>
      </w:pPr>
      <w:r>
        <w:t>Direction G: Tax-Based Wage Floor Enforcement with Worker-Whole and Retirement-Fund Penalty Allocation</w:t>
      </w:r>
    </w:p>
    <w:p>
      <w:pPr/>
      <w:r>
        <w:t>The wage floor's structural anti-discrimination property requires enforcement to be operative. The platform's current proposal (regional 25th percentile floor) and Direction F (national-backstop augmentation in suppressed regions) are architectural commitments without explicit enforcement provisions. This direction proposes a tax-filing-based enforcement architecture operating alongside existing federal tax-collection infrastructure. At the annual filing of W-2 returns, the IRS would cross-reference each worker's reported wages against the operative wage floor (regional 25th percentile by default, or the national backstop where Direction F triggers) for that worker's occupational classification and metropolitan statistical area. Employers paying any worker below the operative floor would be flagged for compliance action through automated tax-data review. Worker-initiated reporting is not required, which addresses the chilling-effect problem with worker-reported enforcement under existing minimum wage and anti-discrimination frameworks.</w:t>
      </w:r>
    </w:p>
    <w:p>
      <w:pPr/>
      <w:r>
        <w:t>Flagged employers would face two compliance pathways. First, immediate adoption: the employer raises all affected workers' wages to or above the operative floor within the current pay period and provides back-pay for the period since the violation was identified. Second, accepted timeline submission: the employer presents a documented plan to achieve compliance within an agreed-upon nationally-set time period (the platform contemplates a default window of six to eighteen months depending on the magnitude of adjustment and the employer's documented financial position, with empirical calibration of specific timelines). The timeline approval body would be a federal agency analogous to the Department of Labor Wage and Hour Division, with an appeals process for denied timelines. The default presumption would favor approval for employers demonstrating good-faith financial constraints with reasonable adjustment plans, while denying timelines for employers without financial-constraint justification.</w:t>
      </w:r>
    </w:p>
    <w:p>
      <w:pPr/>
      <w:r>
        <w:t>Employers who reject both compliance pathways or fail to meet an accepted timeline would be subject to civil penalties under the federal tax-enforcement framework. The penalty structure has two components, both following the platform's broader principle of closed-loop allocation. First, a make-the-worker-whole component equal to the back-pay owed to each affected worker, paid directly to the affected workers (bringing their compensation up to what the operative floor required). Second, an additional civil penalty proportional to the underpayment amount, calibrated by empirical work to balance deterrent effect against employer solvency risk. The civil penalty portion flows into the Sovereign Fund's pillar contributions architecture (specifically into the Community Contribution Plan's hybrid retirement system), creating a closed-loop mechanism whereby employers who suppress wages below the floor fund the retirement system that workers including the affected ones will draw from in retirement. This structural alignment reinforces the platform's broader closed-loop principle that worker contributions fund worker benefits.</w:t>
      </w:r>
    </w:p>
    <w:p>
      <w:pPr/>
      <w:r>
        <w:t>Several design considerations and trade-offs apply to this enforcement architecture. Small employer phase-in: implementations may need to exempt or phase in employers below a defined size threshold (for example fifty employees, subject to empirical calibration) to prevent forced closures during the transition period when affected workers' wages must be raised. Penalty calibration: the civil penalty multiplier requires empirical work to set high enough to discourage non-compliance but low enough to permit good-faith adjustment by financially-stressed employers; the platform contemplates a multiplier range subject to credentialed external review. Geographic operationalization: the IRS already publishes occupational and geographic wage data at metropolitan-statistical-area level through BLS partnerships, so administrative implementation parallels existing tax-enforcement workflows and does not require new data infrastructure. Closed-loop allocation novelty: the penalty redirection into the retirement architecture is a novel design choice that aligns employer-level wage compliance with worker-level retirement architecture; this is not how existing federal wage-and-hour enforcement allocates collected penalties, and the platform's choice to redirect them into the retirement system is a structural improvement that reflects the platform's broader architecture-as-redistribution principle. Workers retain their existing private right of action under Title VII the Equal Pay Act the FLSA and state wage-and-hour laws; the tax-based enforcement architecture adds a structural layer rather than replacing existing enforcement options.</w:t>
      </w:r>
    </w:p>
    <w:p>
      <w:pPr/>
      <w:r>
        <w:t>Implementation sequencing: Direction G operates whether or not Direction F is implemented. Without Direction F, the enforcement applies to the regional 25th percentile floor. With Direction F, the enforcement applies to whichever floor is operative (regional in unsuppressed regions, national backstop in regions where the threshold triggers). The two directions are independent: a future platform version could adopt either, both, or neither, with neither dependent on the other for substantive effect. Direction G alone provides enforcement of the regional floor. Direction F alone provides a national backstop calculation without explicit enforcement (relying on existing minimum-wage-style mechanisms). Both together provide the full anti-monopsony architecture the user-prompted analytical work identified during platform development.</w:t>
      </w:r>
    </w:p>
    <w:p>
      <w:pPr>
        <w:pStyle w:val="Heading1"/>
      </w:pPr>
      <w:r>
        <w:t>Intersectional Analysis Framework</w:t>
      </w:r>
    </w:p>
    <w:p>
      <w:pPr>
        <w:spacing w:after="240" w:before="480"/>
      </w:pPr>
      <w:r>
        <w:rPr>
          <w:rFonts w:ascii="Arial" w:cs="Arial" w:eastAsia="Arial" w:hAnsi="Arial"/>
          <w:b/>
          <w:bCs/>
          <w:color w:val="1F4E78"/>
          <w:sz w:val="36"/>
          <w:szCs w:val="36"/>
        </w:rPr>
        <w:t>This document's body analysis treats women as a single population. Open Issues Registry RESEARCH-6 noted that intersectional pay gaps (where race, ethnicity, disability status, and sexual orientation compound with gender) are acknowledged in this document's Combined Effect Estimate section but not analyzed in the body of the analysis. This section provides the intersectional analysis framework that RESEARCH-6 specifically asked for. Substantive data analysis (BLS by race-by-gender, Census occupation-by-demographics) still requires data sources the platform's analytical work has not engaged with at the level of detail needed; this section provides the framework and reasonable bounds for what such analysis would find.</w:t>
      </w:r>
    </w:p>
    <w:p>
      <w:pPr>
        <w:pStyle w:val="Heading2"/>
        <w:spacing w:after="160" w:before="360"/>
      </w:pPr>
      <w:r>
        <w:rPr>
          <w:rFonts w:ascii="Arial" w:cs="Arial" w:eastAsia="Arial" w:hAnsi="Arial"/>
          <w:b/>
          <w:bCs/>
          <w:color w:val="1F4E78"/>
          <w:sz w:val="28"/>
          <w:szCs w:val="28"/>
        </w:rPr>
        <w:t>Intersectional Pay Gap Magnitudes</w:t>
      </w:r>
    </w:p>
    <w:p>
      <w:pPr>
        <w:spacing w:after="240" w:before="480"/>
      </w:pPr>
      <w:r>
        <w:rPr>
          <w:rFonts w:ascii="Arial" w:cs="Arial" w:eastAsia="Arial" w:hAnsi="Arial"/>
          <w:b/>
          <w:bCs/>
          <w:color w:val="1F4E78"/>
          <w:sz w:val="36"/>
          <w:szCs w:val="36"/>
        </w:rPr>
        <w:t>Standard pay gap data shows the following uncontrolled wage ratios compared to white non-Hispanic men: white women approximately 79 percent; Black women approximately 64 percent; Hispanic women approximately 57 percent; Native American women approximately 60 percent; Asian women approximately 90 percent (with substantial variation by ethnic subgroup). Black men approximately 73 percent. Hispanic men approximately 70 percent. Native American men approximately 76 percent. These ratios are uncontrolled (do not adjust for occupation, experience, education, hours), which the literature distinguishes from controlled estimates that typically show smaller gaps.</w:t>
      </w:r>
    </w:p>
    <w:p>
      <w:pPr>
        <w:spacing w:after="240" w:before="480"/>
      </w:pPr>
      <w:r>
        <w:rPr>
          <w:rFonts w:ascii="Arial" w:cs="Arial" w:eastAsia="Arial" w:hAnsi="Arial"/>
          <w:b/>
          <w:bCs/>
          <w:color w:val="1F4E78"/>
          <w:sz w:val="36"/>
          <w:szCs w:val="36"/>
        </w:rPr>
        <w:t>Controlled estimates (adjusting for occupation, experience, education, region, hours) typically reduce these gaps but do not eliminate them. The unexplained gap component varies across studies but is typically 5-15 percent for white women, 10-20 percent for Black women, and 8-18 percent for Hispanic women. Disability status compounds these gaps: women with disabilities face an additional approximately 10-25 percent gap compared to women without disabilities. LGBTQ+ workers face their own pay disparities, with transgender workers facing the largest documented gaps (approximately 15-30 percent post-transition compared to workers of their post-transition gender identity, though data quality is limited).  (Source baseline: see Sources_And_Derivation_Convention.docx.)</w:t>
      </w:r>
    </w:p>
    <w:p>
      <w:pPr>
        <w:pStyle w:val="Heading2"/>
        <w:spacing w:after="160" w:before="360"/>
      </w:pPr>
      <w:r>
        <w:rPr>
          <w:rFonts w:ascii="Arial" w:cs="Arial" w:eastAsia="Arial" w:hAnsi="Arial"/>
          <w:b/>
          <w:bCs/>
          <w:color w:val="1F4E78"/>
          <w:sz w:val="28"/>
          <w:szCs w:val="28"/>
        </w:rPr>
        <w:t>How the Platform's Three Mechanisms Interact with Intersectional Sub-Populations</w:t>
      </w:r>
    </w:p>
    <w:p>
      <w:pPr>
        <w:spacing w:after="240" w:before="480"/>
      </w:pPr>
      <w:r>
        <w:rPr>
          <w:rFonts w:ascii="Arial" w:cs="Arial" w:eastAsia="Arial" w:hAnsi="Arial"/>
          <w:b/>
          <w:bCs/>
          <w:color w:val="1F4E78"/>
          <w:sz w:val="36"/>
          <w:szCs w:val="36"/>
        </w:rPr>
        <w:t>Universal childcare addressing the motherhood penalty. The motherhood penalty (the wage decline associated with motherhood compared to women without children) is approximately 4-7 percent per child for white women but approximately 2-5 percent per child for Black women — though Black women face larger absolute pay gaps independent of motherhood. The platform's universal childcare removes a binding constraint that disproportionately affects lower-income mothers (who are disproportionately women of color in the US labor market). The childcare mechanism therefore likely provides larger absolute wage benefits to Black, Hispanic, and Native American mothers than to white mothers, even though the percentage motherhood penalty is smaller for women of color.</w:t>
      </w:r>
    </w:p>
    <w:p>
      <w:pPr>
        <w:spacing w:after="240" w:before="480"/>
      </w:pPr>
      <w:r>
        <w:rPr>
          <w:rFonts w:ascii="Arial" w:cs="Arial" w:eastAsia="Arial" w:hAnsi="Arial"/>
          <w:b/>
          <w:bCs/>
          <w:color w:val="1F4E78"/>
          <w:sz w:val="36"/>
          <w:szCs w:val="36"/>
        </w:rPr>
        <w:t>Empirical wage floors raising pay in female-dominated occupations. Female-dominated occupations include disproportionate representation of women of color (home health aides, domestic workers, food service, certain healthcare support roles). Wage floors at the 25th-percentile level for these occupations would disproportionately benefit Black and Hispanic women. The wage floor mechanism therefore provides intersectional benefit weighted toward women of color, though the specific occupational distribution requires Census data to quantify precisely.</w:t>
      </w:r>
    </w:p>
    <w:p>
      <w:pPr>
        <w:spacing w:after="240" w:before="480"/>
      </w:pPr>
      <w:r>
        <w:rPr>
          <w:rFonts w:ascii="Arial" w:cs="Arial" w:eastAsia="Arial" w:hAnsi="Arial"/>
          <w:b/>
          <w:bCs/>
          <w:color w:val="1F4E78"/>
          <w:sz w:val="36"/>
          <w:szCs w:val="36"/>
        </w:rPr>
        <w:t>Universal healthcare reducing job-lock. Job-lock (staying in a job for healthcare benefits despite better opportunities elsewhere) affects all workers but affects workers with chronic conditions more than healthy workers. Black women have higher prevalence of several chronic conditions (hypertension, diabetes, obesity-related conditions) than white women, partially as a consequence of structural racism in healthcare access and as a consequence of social determinants of health. Universal healthcare therefore likely reduces job-lock disproportionately for Black women and for women with disabilities, providing intersectional benefit through this mechanism.</w:t>
      </w:r>
    </w:p>
    <w:p>
      <w:pPr>
        <w:pStyle w:val="Heading2"/>
        <w:spacing w:after="160" w:before="360"/>
      </w:pPr>
      <w:r>
        <w:rPr>
          <w:rFonts w:ascii="Arial" w:cs="Arial" w:eastAsia="Arial" w:hAnsi="Arial"/>
          <w:b/>
          <w:bCs/>
          <w:color w:val="1F4E78"/>
          <w:sz w:val="28"/>
          <w:szCs w:val="28"/>
        </w:rPr>
        <w:t>What Reasonable Estimation Suggests</w:t>
      </w:r>
    </w:p>
    <w:p>
      <w:pPr>
        <w:spacing w:after="240" w:before="480"/>
      </w:pPr>
      <w:r>
        <w:rPr>
          <w:rFonts w:ascii="Arial" w:cs="Arial" w:eastAsia="Arial" w:hAnsi="Arial"/>
          <w:b/>
          <w:bCs/>
          <w:color w:val="1F4E78"/>
          <w:sz w:val="36"/>
          <w:szCs w:val="36"/>
        </w:rPr>
        <w:t>The platform's three mechanisms collectively likely close pay gaps across all demographic groups, with proportionally larger gap closure for women of color than for white women — but with the absolute remaining gap larger for women of color because their starting position is further below white men's wages. The platform does not eliminate intersectional pay gaps; it reduces them while preserving the underlying differential structure. Full elimination would require additional mechanisms outside the platform's scope: occupational integration policy, hiring discrimination enforcement, and broader anti-discrimination architecture in labor markets.</w:t>
      </w:r>
    </w:p>
    <w:p>
      <w:pPr>
        <w:pStyle w:val="Heading2"/>
        <w:spacing w:after="160" w:before="360"/>
      </w:pPr>
      <w:r>
        <w:rPr>
          <w:rFonts w:ascii="Arial" w:cs="Arial" w:eastAsia="Arial" w:hAnsi="Arial"/>
          <w:b/>
          <w:bCs/>
          <w:color w:val="1F4E78"/>
          <w:sz w:val="28"/>
          <w:szCs w:val="28"/>
        </w:rPr>
        <w:t>What Still Requires Expert Analysis</w:t>
      </w:r>
    </w:p>
    <w:p>
      <w:pPr>
        <w:spacing w:after="240" w:before="480"/>
      </w:pPr>
      <w:r>
        <w:rPr>
          <w:rFonts w:ascii="Arial" w:cs="Arial" w:eastAsia="Arial" w:hAnsi="Arial"/>
          <w:b/>
          <w:bCs/>
          <w:color w:val="1F4E78"/>
          <w:sz w:val="36"/>
          <w:szCs w:val="36"/>
        </w:rPr>
        <w:t>Quantitative estimation of how each platform mechanism affects each intersectional sub-population requires BLS detailed occupational data crossed with demographics, Census labor force participation data crossed with childcare access, CMS (Centers for Medicare and Medicaid Services) chronic condition data crossed with employment data. None of these analyses has been performed at the level of detail RESEARCH-6 specified. The platform's response framework is now documented; full quantitative intersectional analysis requires labor economics and demographic research expertise the platform does not currently include. RESEARCH-6's status is updated to reflect that the platform's framework is documented but full mitigation requires external expert engagement.</w:t>
      </w:r>
    </w:p>
    <w:p>
      <w:pPr>
        <w:pStyle w:val="Heading1"/>
      </w:pPr>
      <w:r>
        <w:t>Failure Modes</w:t>
      </w:r>
    </w:p>
    <w:p>
      <w:pPr>
        <w:pStyle w:val="Heading2"/>
        <w:spacing w:after="160" w:before="360"/>
      </w:pPr>
      <w:r>
        <w:rPr>
          <w:rFonts w:ascii="Arial" w:cs="Arial" w:eastAsia="Arial" w:hAnsi="Arial"/>
          <w:b/>
          <w:bCs/>
          <w:color w:val="1F4E78"/>
          <w:sz w:val="28"/>
          <w:szCs w:val="28"/>
        </w:rPr>
        <w:t>The Pay Gap Silence Failure Mode</w:t>
      </w:r>
    </w:p>
    <w:p>
      <w:pPr>
        <w:spacing w:after="240" w:before="480"/>
      </w:pPr>
      <w:r>
        <w:rPr>
          <w:rFonts w:ascii="Arial" w:cs="Arial" w:eastAsia="Arial" w:hAnsi="Arial"/>
          <w:b/>
          <w:bCs/>
          <w:color w:val="1F4E78"/>
          <w:sz w:val="36"/>
          <w:szCs w:val="36"/>
        </w:rPr>
        <w:t>If the platform continues to lack any explicit acknowledgment of the gender pay gap as a structural problem, advocates for women's economic equality may reasonably conclude the platform does not take pay equity seriously. This failure mode is partially addressed by this document but the document is provisional analytical framing, not a substantive commitment. Future platform versions should consider whether to elevate pay-gap reduction to a stated commitment alongside the other pillars.</w:t>
      </w:r>
    </w:p>
    <w:p>
      <w:pPr>
        <w:pStyle w:val="Heading2"/>
        <w:spacing w:after="160" w:before="360"/>
      </w:pPr>
      <w:r>
        <w:rPr>
          <w:rFonts w:ascii="Arial" w:cs="Arial" w:eastAsia="Arial" w:hAnsi="Arial"/>
          <w:b/>
          <w:bCs/>
          <w:color w:val="1F4E78"/>
          <w:sz w:val="28"/>
          <w:szCs w:val="28"/>
        </w:rPr>
        <w:t>The Indirect-Mechanisms-Are-Sufficient Failure Mode</w:t>
      </w:r>
    </w:p>
    <w:p>
      <w:pPr>
        <w:spacing w:after="240" w:before="480"/>
      </w:pPr>
      <w:r>
        <w:rPr>
          <w:rFonts w:ascii="Arial" w:cs="Arial" w:eastAsia="Arial" w:hAnsi="Arial"/>
          <w:b/>
          <w:bCs/>
          <w:color w:val="1F4E78"/>
          <w:sz w:val="36"/>
          <w:szCs w:val="36"/>
        </w:rPr>
        <w:t>If platform advocates use this document's analysis ('the platform indirectly reduces the pay gap by 30 to 40 percent') as a substitute for engaging with explicit pay-equity instruments, the platform may end up treating the pay gap as effectively solved when in fact substantial residual gap remains. The honest framing is that the platform's indirect mechanisms are substantial but do not eliminate the gap; explicit pay-equity instruments would be required to close the remaining gap, particularly the unexplained portion.  (Source baseline: see Sources_And_Derivation_Convention.docx.)</w:t>
      </w:r>
    </w:p>
    <w:p>
      <w:pPr>
        <w:pStyle w:val="Heading2"/>
        <w:spacing w:after="160" w:before="360"/>
      </w:pPr>
      <w:r>
        <w:rPr>
          <w:rFonts w:ascii="Arial" w:cs="Arial" w:eastAsia="Arial" w:hAnsi="Arial"/>
          <w:b/>
          <w:bCs/>
          <w:color w:val="1F4E78"/>
          <w:sz w:val="28"/>
          <w:szCs w:val="28"/>
        </w:rPr>
        <w:t>The Universal-Childcare-Uptake Failure Mode</w:t>
      </w:r>
    </w:p>
    <w:p>
      <w:pPr>
        <w:spacing w:after="240" w:before="480"/>
      </w:pPr>
      <w:r>
        <w:rPr>
          <w:rFonts w:ascii="Arial" w:cs="Arial" w:eastAsia="Arial" w:hAnsi="Arial"/>
          <w:b/>
          <w:bCs/>
          <w:color w:val="1F4E78"/>
          <w:sz w:val="36"/>
          <w:szCs w:val="36"/>
        </w:rPr>
        <w:t>If actual universal childcare uptake is substantially below the platform's high-uptake assumption (see Behavioral Economics And Uptake Friction), the motherhood penalty reduction will be smaller than estimated. Households that fail to engage with universal childcare receive no benefit from this mechanism. The pay-gap-reduction estimates above should be understood as proportional to actual uptake; at 80 percent uptake the motherhood-penalty mechanism reduces the gap by approximately 7 to 16 percent rather than 9 to 20 percent.</w:t>
      </w:r>
    </w:p>
    <w:p>
      <w:pPr>
        <w:pStyle w:val="Heading1"/>
      </w:pPr>
      <w:r>
        <w:t>Open Questions</w:t>
      </w:r>
    </w:p>
    <w:p>
      <w:pPr>
        <w:spacing w:after="240" w:before="480"/>
      </w:pPr>
      <w:r>
        <w:rPr>
          <w:rFonts w:ascii="Arial" w:cs="Arial" w:eastAsia="Arial" w:hAnsi="Arial"/>
          <w:b/>
          <w:bCs/>
          <w:color w:val="1F4E78"/>
          <w:sz w:val="36"/>
          <w:szCs w:val="36"/>
        </w:rPr>
        <w:t>How precisely does the platform's universal childcare uptake interact with the motherhood penalty? Quebec's experience provides directional evidence but US implementation may differ; empirical work is required.</w:t>
      </w:r>
    </w:p>
    <w:p>
      <w:pPr>
        <w:spacing w:after="240" w:before="480"/>
      </w:pPr>
      <w:r>
        <w:rPr>
          <w:rFonts w:ascii="Arial" w:cs="Arial" w:eastAsia="Arial" w:hAnsi="Arial"/>
          <w:b/>
          <w:bCs/>
          <w:color w:val="1F4E78"/>
          <w:sz w:val="36"/>
          <w:szCs w:val="36"/>
        </w:rPr>
        <w:t>How do the three mechanisms interact? Are their effects on the pay gap additive, synergistic, or partially redundant? The document above assumes approximately additive effects but this assumption requires empirical validation.</w:t>
      </w:r>
    </w:p>
    <w:p>
      <w:pPr>
        <w:spacing w:after="240" w:before="480"/>
      </w:pPr>
      <w:r>
        <w:rPr>
          <w:rFonts w:ascii="Arial" w:cs="Arial" w:eastAsia="Arial" w:hAnsi="Arial"/>
          <w:b/>
          <w:bCs/>
          <w:color w:val="1F4E78"/>
          <w:sz w:val="36"/>
          <w:szCs w:val="36"/>
        </w:rPr>
        <w:t>How should the platform handle the residual unexplained pay gap (5 to 10 percent)? Adding explicit pay-equity instruments (Directions B, C, D above) is one option; a federal paid family leave commitment (Direction A) is another; strengthening Title VII enforcement is a third.</w:t>
      </w:r>
    </w:p>
    <w:p>
      <w:pPr>
        <w:spacing w:after="240" w:before="480"/>
      </w:pPr>
      <w:r>
        <w:rPr>
          <w:rFonts w:ascii="Arial" w:cs="Arial" w:eastAsia="Arial" w:hAnsi="Arial"/>
          <w:b/>
          <w:bCs/>
          <w:color w:val="1F4E78"/>
          <w:sz w:val="36"/>
          <w:szCs w:val="36"/>
        </w:rPr>
        <w:t>What is the appropriate role of state-level pay-equity work under the platform's federal-state cooperation framework? Several states have substantial pay-equity legislation (California, Massachusetts, others) and the platform should articulate how these interact with federal commitments.</w:t>
      </w:r>
    </w:p>
    <w:p>
      <w:pPr>
        <w:spacing w:after="240" w:before="480"/>
      </w:pPr>
      <w:r>
        <w:rPr>
          <w:rFonts w:ascii="Arial" w:cs="Arial" w:eastAsia="Arial" w:hAnsi="Arial"/>
          <w:b/>
          <w:bCs/>
          <w:color w:val="1F4E78"/>
          <w:sz w:val="36"/>
          <w:szCs w:val="36"/>
        </w:rPr>
        <w:t>How does the platform's wage floor architecture handle occupations that change gender composition over time? If a previously male-dominated occupation becomes more gender-balanced (or vice versa), the wage floor calculation would be unaffected (the floor is based on actual wages, not gender), but the pay-gap effect of the wage floor would change. This is a feature, not a bug, but warrants explicit acknowledgment.</w:t>
      </w:r>
    </w:p>
    <w:p>
      <w:pPr>
        <w:spacing w:after="240" w:before="480"/>
      </w:pPr>
      <w:r>
        <w:rPr>
          <w:rFonts w:ascii="Arial" w:cs="Arial" w:eastAsia="Arial" w:hAnsi="Arial"/>
          <w:b/>
          <w:bCs/>
          <w:color w:val="1F4E78"/>
          <w:sz w:val="36"/>
          <w:szCs w:val="36"/>
        </w:rPr>
        <w:t>How should the platform engage with intersectional pay gaps? The gap is larger for Black, Hispanic, and Native American women than for white women; women with disabilities face additional gaps; LGBTQ+ workers face their own pay disparities. The platform's universal architecture is by definition non-targeted, but pay-gap-reduction work specifically often requires intersectional analysis.</w:t>
      </w:r>
    </w:p>
    <w:p>
      <w:pPr>
        <w:spacing w:after="240" w:before="480"/>
      </w:pPr>
      <w:r>
        <w:rPr>
          <w:rFonts w:ascii="Arial" w:cs="Arial" w:eastAsia="Arial" w:hAnsi="Arial"/>
          <w:b/>
          <w:bCs/>
          <w:color w:val="1F4E78"/>
          <w:sz w:val="36"/>
          <w:szCs w:val="36"/>
        </w:rPr>
        <w:t>What are the appropriate metrics for tracking platform effectiveness on the pay gap? The raw gap, unexplained gap, motherhood penalty specifically, occupational segregation, and vertical segregation are all relevant. A future platform version should specify which metrics constitute success criteria.</w:t>
      </w:r>
    </w:p>
    <w:p>
      <w:pPr>
        <w:pStyle w:val="Heading1"/>
      </w:pPr>
      <w:r>
        <w:t>Closing</w:t>
      </w:r>
    </w:p>
    <w:p>
      <w:pPr>
        <w:spacing w:after="240" w:before="480"/>
      </w:pPr>
      <w:r>
        <w:rPr>
          <w:rFonts w:ascii="Arial" w:cs="Arial" w:eastAsia="Arial" w:hAnsi="Arial"/>
          <w:b/>
          <w:bCs/>
          <w:color w:val="1F4E78"/>
          <w:sz w:val="36"/>
          <w:szCs w:val="36"/>
        </w:rPr>
        <w:t>The platform's architecture would reduce the gender pay gap meaningfully — an estimated 30 to 40 percent reduction in the raw gap — through three indirect mechanisms (universal childcare, empirical wage floors, universal healthcare). This is a substantial effect for a set of architecture choices not designed primarily for pay-gap reduction. The platform does not include the targeted pay-equity instruments that pay-gap-focused policy proposals typically include (paid family leave, pay transparency, salary history bans, strengthened Equal Pay Act enforcement, comparable-worth frameworks, anti-segregation interventions).  (Source baseline: see Sources_And_Derivation_Convention.docx.)</w:t>
      </w:r>
    </w:p>
    <w:p>
      <w:pPr>
        <w:spacing w:after="240" w:before="480"/>
      </w:pPr>
      <w:r>
        <w:rPr>
          <w:rFonts w:ascii="Arial" w:cs="Arial" w:eastAsia="Arial" w:hAnsi="Arial"/>
          <w:b/>
          <w:bCs/>
          <w:color w:val="1F4E78"/>
          <w:sz w:val="36"/>
          <w:szCs w:val="36"/>
        </w:rPr>
        <w:t>This document is offered in the spirit of the v2.14 through v2.21 phased-expansion documents: making implicit platform effects explicit, identifying gaps the platform does not currently address, and outlining design directions future platform versions could take. Whether the platform should elevate pay-gap reduction to a stated commitment with targeted instruments, or remain content with indirect mechanisms as analyzed here, is a strategic question that warrants explicit attention in subsequent platform versions.</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Per-Citizen Benefits and Costs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Per-Citizen Benefits and Costs Across the Deployment Timeline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Per-Citizen Benefits and Costs Across the Deployment Timeline</dc:title>
  <dc:creator>Jason Robertson</dc:creator>
  <cp:lastModifiedBy>Un-named</cp:lastModifiedBy>
  <cp:revision>1</cp:revision>
  <dcterms:created xsi:type="dcterms:W3CDTF">2026-05-05T01:39:08.188Z</dcterms:created>
  <dcterms:modified xsi:type="dcterms:W3CDTF">2026-05-05T01:39:08.207Z</dcterms:modified>
</cp:coreProperties>
</file>

<file path=docProps/custom.xml><?xml version="1.0" encoding="utf-8"?>
<Properties xmlns="http://schemas.openxmlformats.org/officeDocument/2006/custom-properties" xmlns:vt="http://schemas.openxmlformats.org/officeDocument/2006/docPropsVTypes"/>
</file>